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7D3C7D3F"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D85ADC">
        <w:rPr>
          <w:rFonts w:ascii="Arial" w:hAnsi="Arial" w:cs="Arial"/>
          <w:b/>
          <w:bCs/>
          <w:lang w:val="pt-BR"/>
        </w:rPr>
        <w:t>6</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w:t>
      </w:r>
      <w:r w:rsidR="006A05F0">
        <w:rPr>
          <w:rFonts w:ascii="Arial" w:hAnsi="Arial" w:cs="Arial"/>
          <w:b/>
          <w:bCs/>
          <w:lang w:val="pt-BR"/>
        </w:rPr>
        <w:t>10073</w:t>
      </w:r>
    </w:p>
    <w:p w14:paraId="78D1E51D" w14:textId="090C82BE"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D85ADC">
        <w:rPr>
          <w:rFonts w:ascii="Arial" w:eastAsia="MS Mincho" w:hAnsi="Arial" w:cs="Arial"/>
          <w:b/>
          <w:bCs/>
          <w:lang w:eastAsia="ja-JP"/>
        </w:rPr>
        <w:t>November</w:t>
      </w:r>
      <w:r w:rsidR="0052364D" w:rsidRPr="00435F1E">
        <w:rPr>
          <w:rFonts w:ascii="Arial" w:eastAsia="MS Mincho" w:hAnsi="Arial" w:cs="Arial"/>
          <w:b/>
          <w:bCs/>
          <w:lang w:eastAsia="ja-JP"/>
        </w:rPr>
        <w:t xml:space="preserve"> </w:t>
      </w:r>
      <w:r w:rsidR="00805526">
        <w:rPr>
          <w:rFonts w:ascii="Arial" w:eastAsia="MS Mincho" w:hAnsi="Arial" w:cs="Arial"/>
          <w:b/>
          <w:bCs/>
          <w:lang w:eastAsia="ja-JP"/>
        </w:rPr>
        <w:t>1</w:t>
      </w:r>
      <w:r w:rsidR="00D85ADC">
        <w:rPr>
          <w:rFonts w:ascii="Arial" w:eastAsia="MS Mincho" w:hAnsi="Arial" w:cs="Arial"/>
          <w:b/>
          <w:bCs/>
          <w:lang w:eastAsia="ja-JP"/>
        </w:rPr>
        <w:t>-12</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1E9C671B" w:rsidR="00E90E49" w:rsidRPr="00764EBC" w:rsidRDefault="00E90E49" w:rsidP="005E56C2">
      <w:pPr>
        <w:pStyle w:val="3GPPHeader"/>
        <w:jc w:val="both"/>
      </w:pPr>
      <w:r w:rsidRPr="00764EBC">
        <w:t>Agenda Item:</w:t>
      </w:r>
      <w:r w:rsidRPr="00764EBC">
        <w:tab/>
      </w:r>
      <w:r w:rsidR="00DF1985">
        <w:t>8.14.2.1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65D5CE8B" w:rsidR="00531215" w:rsidRPr="00764EBC" w:rsidRDefault="003D3C45" w:rsidP="008674CA">
      <w:pPr>
        <w:pStyle w:val="3GPPHeader"/>
        <w:jc w:val="both"/>
      </w:pPr>
      <w:r w:rsidRPr="00764EBC">
        <w:t>Title:</w:t>
      </w:r>
      <w:r w:rsidR="00E90E49" w:rsidRPr="00764EBC">
        <w:tab/>
      </w:r>
      <w:r w:rsidR="00ED2BB4">
        <w:t xml:space="preserve">Supporting </w:t>
      </w:r>
      <w:r w:rsidR="001961C7">
        <w:t>mobility</w:t>
      </w:r>
      <w:r w:rsidR="00ED2BB4">
        <w:t xml:space="preserve"> for NR QoE</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7A1C36EF" w14:textId="7C2BF244" w:rsidR="000C1A61" w:rsidRDefault="000C1A61" w:rsidP="000C1A61">
      <w:pPr>
        <w:pStyle w:val="Comments"/>
        <w:jc w:val="both"/>
        <w:rPr>
          <w:rFonts w:ascii="Times New Roman" w:hAnsi="Times New Roman"/>
          <w:i w:val="0"/>
          <w:iCs/>
          <w:sz w:val="24"/>
        </w:rPr>
      </w:pPr>
      <w:r>
        <w:rPr>
          <w:rFonts w:ascii="Times New Roman" w:hAnsi="Times New Roman"/>
          <w:i w:val="0"/>
          <w:iCs/>
          <w:sz w:val="24"/>
        </w:rPr>
        <w:t>In the previous meeting, RAN2 received an LS from RAN3</w:t>
      </w:r>
      <w:r w:rsidR="00EB45C1">
        <w:rPr>
          <w:rFonts w:ascii="Times New Roman" w:hAnsi="Times New Roman"/>
          <w:i w:val="0"/>
          <w:iCs/>
          <w:sz w:val="24"/>
        </w:rPr>
        <w:fldChar w:fldCharType="begin"/>
      </w:r>
      <w:r w:rsidR="00EB45C1">
        <w:rPr>
          <w:rFonts w:ascii="Times New Roman" w:hAnsi="Times New Roman"/>
          <w:i w:val="0"/>
          <w:iCs/>
          <w:sz w:val="24"/>
        </w:rPr>
        <w:instrText xml:space="preserve"> REF _Ref85552807 \r \h </w:instrText>
      </w:r>
      <w:r w:rsidR="00EB45C1">
        <w:rPr>
          <w:rFonts w:ascii="Times New Roman" w:hAnsi="Times New Roman"/>
          <w:i w:val="0"/>
          <w:iCs/>
          <w:sz w:val="24"/>
        </w:rPr>
      </w:r>
      <w:r w:rsidR="00EB45C1">
        <w:rPr>
          <w:rFonts w:ascii="Times New Roman" w:hAnsi="Times New Roman"/>
          <w:i w:val="0"/>
          <w:iCs/>
          <w:sz w:val="24"/>
        </w:rPr>
        <w:fldChar w:fldCharType="separate"/>
      </w:r>
      <w:r w:rsidR="00EB45C1">
        <w:rPr>
          <w:rFonts w:ascii="Times New Roman" w:hAnsi="Times New Roman"/>
          <w:i w:val="0"/>
          <w:iCs/>
          <w:sz w:val="24"/>
        </w:rPr>
        <w:t>[1]</w:t>
      </w:r>
      <w:r w:rsidR="00EB45C1">
        <w:rPr>
          <w:rFonts w:ascii="Times New Roman" w:hAnsi="Times New Roman"/>
          <w:i w:val="0"/>
          <w:iCs/>
          <w:sz w:val="24"/>
        </w:rPr>
        <w:fldChar w:fldCharType="end"/>
      </w:r>
      <w:r>
        <w:rPr>
          <w:rFonts w:ascii="Times New Roman" w:hAnsi="Times New Roman"/>
          <w:i w:val="0"/>
          <w:iCs/>
          <w:sz w:val="24"/>
        </w:rPr>
        <w:t xml:space="preserve"> clarifying the mechanism for area handling for QoE during mobility: </w:t>
      </w:r>
    </w:p>
    <w:p w14:paraId="2BB42CF6" w14:textId="77777777" w:rsidR="000C1A61" w:rsidRDefault="000C1A61" w:rsidP="000C1A61">
      <w:pPr>
        <w:pStyle w:val="Comments"/>
        <w:jc w:val="both"/>
        <w:rPr>
          <w:rFonts w:ascii="Times New Roman" w:hAnsi="Times New Roman"/>
          <w:i w:val="0"/>
          <w:iCs/>
          <w:sz w:val="24"/>
        </w:rPr>
      </w:pPr>
    </w:p>
    <w:p w14:paraId="531F145D" w14:textId="6E173ACA" w:rsidR="000C1A61" w:rsidRPr="0063631D" w:rsidRDefault="000C1A61" w:rsidP="000C1A61">
      <w:pPr>
        <w:pStyle w:val="Comments"/>
        <w:pBdr>
          <w:top w:val="single" w:sz="4" w:space="1" w:color="auto"/>
          <w:left w:val="single" w:sz="4" w:space="4" w:color="auto"/>
          <w:bottom w:val="single" w:sz="4" w:space="1" w:color="auto"/>
          <w:right w:val="single" w:sz="4" w:space="4" w:color="auto"/>
        </w:pBdr>
        <w:jc w:val="both"/>
        <w:rPr>
          <w:rFonts w:eastAsia="Times New Roman" w:cs="Arial"/>
          <w:color w:val="000000" w:themeColor="text1"/>
          <w:lang w:eastAsia="zh-CN"/>
        </w:rPr>
      </w:pPr>
      <w:r>
        <w:rPr>
          <w:rFonts w:ascii="Times New Roman" w:hAnsi="Times New Roman"/>
          <w:i w:val="0"/>
          <w:iCs/>
          <w:sz w:val="24"/>
        </w:rPr>
        <w:t>The network is responsible for keeping track of whether the UE is inside or outide the area and configures/releases configuration accordingly.</w:t>
      </w:r>
    </w:p>
    <w:p w14:paraId="3C137FEA" w14:textId="77777777" w:rsidR="000C1A61" w:rsidRDefault="000C1A61" w:rsidP="005E56C2">
      <w:pPr>
        <w:pStyle w:val="Comments"/>
        <w:jc w:val="both"/>
        <w:rPr>
          <w:rFonts w:ascii="Times New Roman" w:hAnsi="Times New Roman"/>
          <w:i w:val="0"/>
          <w:iCs/>
          <w:sz w:val="24"/>
        </w:rPr>
      </w:pPr>
    </w:p>
    <w:p w14:paraId="562C7FA3" w14:textId="459AAAFB" w:rsidR="00734D99" w:rsidRDefault="00EB45C1" w:rsidP="005E56C2">
      <w:pPr>
        <w:spacing w:after="180"/>
        <w:contextualSpacing/>
        <w:jc w:val="both"/>
        <w:rPr>
          <w:szCs w:val="20"/>
        </w:rPr>
      </w:pPr>
      <w:r>
        <w:rPr>
          <w:szCs w:val="20"/>
        </w:rPr>
        <w:t xml:space="preserve">On the other hand, SA4 </w:t>
      </w:r>
      <w:r>
        <w:rPr>
          <w:szCs w:val="20"/>
        </w:rPr>
        <w:fldChar w:fldCharType="begin"/>
      </w:r>
      <w:r>
        <w:rPr>
          <w:szCs w:val="20"/>
        </w:rPr>
        <w:instrText xml:space="preserve"> REF _Ref85552823 \r \h </w:instrText>
      </w:r>
      <w:r>
        <w:rPr>
          <w:szCs w:val="20"/>
        </w:rPr>
      </w:r>
      <w:r>
        <w:rPr>
          <w:szCs w:val="20"/>
        </w:rPr>
        <w:fldChar w:fldCharType="separate"/>
      </w:r>
      <w:r>
        <w:rPr>
          <w:szCs w:val="20"/>
        </w:rPr>
        <w:t>[2]</w:t>
      </w:r>
      <w:r>
        <w:rPr>
          <w:szCs w:val="20"/>
        </w:rPr>
        <w:fldChar w:fldCharType="end"/>
      </w:r>
      <w:r>
        <w:rPr>
          <w:szCs w:val="20"/>
        </w:rPr>
        <w:fldChar w:fldCharType="begin"/>
      </w:r>
      <w:r>
        <w:rPr>
          <w:szCs w:val="20"/>
        </w:rPr>
        <w:instrText xml:space="preserve"> REF _Ref85552825 \r \h </w:instrText>
      </w:r>
      <w:r>
        <w:rPr>
          <w:szCs w:val="20"/>
        </w:rPr>
      </w:r>
      <w:r>
        <w:rPr>
          <w:szCs w:val="20"/>
        </w:rPr>
        <w:fldChar w:fldCharType="separate"/>
      </w:r>
      <w:r>
        <w:rPr>
          <w:szCs w:val="20"/>
        </w:rPr>
        <w:t>[3]</w:t>
      </w:r>
      <w:r>
        <w:rPr>
          <w:szCs w:val="20"/>
        </w:rPr>
        <w:fldChar w:fldCharType="end"/>
      </w:r>
      <w:r>
        <w:rPr>
          <w:szCs w:val="20"/>
        </w:rPr>
        <w:t xml:space="preserve"> has mandated that the UE should check QoE configuration only when a session starts, and changes to QoE configuration “will only affect sessions started after these configuration changes have been received”. </w:t>
      </w:r>
      <w:r w:rsidR="00734D99">
        <w:rPr>
          <w:szCs w:val="20"/>
        </w:rPr>
        <w:t xml:space="preserve">Some more detail on these requirements is captured in </w:t>
      </w:r>
      <w:r w:rsidR="00734D99">
        <w:rPr>
          <w:szCs w:val="20"/>
        </w:rPr>
        <w:fldChar w:fldCharType="begin"/>
      </w:r>
      <w:r w:rsidR="00734D99">
        <w:rPr>
          <w:szCs w:val="20"/>
        </w:rPr>
        <w:instrText xml:space="preserve"> REF _Ref85552911 \r \h </w:instrText>
      </w:r>
      <w:r w:rsidR="00734D99">
        <w:rPr>
          <w:szCs w:val="20"/>
        </w:rPr>
      </w:r>
      <w:r w:rsidR="00734D99">
        <w:rPr>
          <w:szCs w:val="20"/>
        </w:rPr>
        <w:fldChar w:fldCharType="separate"/>
      </w:r>
      <w:r w:rsidR="00734D99">
        <w:rPr>
          <w:szCs w:val="20"/>
        </w:rPr>
        <w:t>[4]</w:t>
      </w:r>
      <w:r w:rsidR="00734D99">
        <w:rPr>
          <w:szCs w:val="20"/>
        </w:rPr>
        <w:fldChar w:fldCharType="end"/>
      </w:r>
      <w:r w:rsidR="00734D99">
        <w:rPr>
          <w:szCs w:val="20"/>
        </w:rPr>
        <w:t xml:space="preserve"> and </w:t>
      </w:r>
      <w:r w:rsidR="00734D99">
        <w:rPr>
          <w:szCs w:val="20"/>
        </w:rPr>
        <w:fldChar w:fldCharType="begin"/>
      </w:r>
      <w:r w:rsidR="00734D99">
        <w:rPr>
          <w:szCs w:val="20"/>
        </w:rPr>
        <w:instrText xml:space="preserve"> REF _Ref85553315 \r \h </w:instrText>
      </w:r>
      <w:r w:rsidR="00734D99">
        <w:rPr>
          <w:szCs w:val="20"/>
        </w:rPr>
      </w:r>
      <w:r w:rsidR="00734D99">
        <w:rPr>
          <w:szCs w:val="20"/>
        </w:rPr>
        <w:fldChar w:fldCharType="separate"/>
      </w:r>
      <w:r w:rsidR="00734D99">
        <w:rPr>
          <w:szCs w:val="20"/>
        </w:rPr>
        <w:t>[5]</w:t>
      </w:r>
      <w:r w:rsidR="00734D99">
        <w:rPr>
          <w:szCs w:val="20"/>
        </w:rPr>
        <w:fldChar w:fldCharType="end"/>
      </w:r>
      <w:r w:rsidR="00734D99">
        <w:rPr>
          <w:szCs w:val="20"/>
        </w:rPr>
        <w:t>:</w:t>
      </w:r>
    </w:p>
    <w:p w14:paraId="43E1EC3E" w14:textId="77777777" w:rsidR="00734D99" w:rsidRDefault="00734D99" w:rsidP="005E56C2">
      <w:pPr>
        <w:spacing w:after="180"/>
        <w:contextualSpacing/>
        <w:jc w:val="both"/>
        <w:rPr>
          <w:szCs w:val="20"/>
        </w:rPr>
      </w:pPr>
    </w:p>
    <w:p w14:paraId="66B27797" w14:textId="2287A096" w:rsidR="00734D99" w:rsidRDefault="00734D99" w:rsidP="00734D99">
      <w:pPr>
        <w:pBdr>
          <w:top w:val="single" w:sz="4" w:space="1" w:color="auto"/>
          <w:left w:val="single" w:sz="4" w:space="4" w:color="auto"/>
          <w:bottom w:val="single" w:sz="4" w:space="1" w:color="auto"/>
          <w:right w:val="single" w:sz="4" w:space="4" w:color="auto"/>
        </w:pBdr>
        <w:spacing w:after="180"/>
        <w:contextualSpacing/>
        <w:jc w:val="both"/>
        <w:rPr>
          <w:szCs w:val="20"/>
        </w:rPr>
      </w:pPr>
      <w:r w:rsidRPr="00A13402">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w:t>
      </w:r>
      <w:r>
        <w:t>ion changes have been received.</w:t>
      </w:r>
    </w:p>
    <w:p w14:paraId="6A4EE63F" w14:textId="77777777" w:rsidR="00734D99" w:rsidRDefault="00734D99" w:rsidP="005E56C2">
      <w:pPr>
        <w:spacing w:after="180"/>
        <w:contextualSpacing/>
        <w:jc w:val="both"/>
        <w:rPr>
          <w:szCs w:val="20"/>
        </w:rPr>
      </w:pPr>
    </w:p>
    <w:p w14:paraId="13FD3EAA" w14:textId="5B85ACB6" w:rsidR="00F8760F" w:rsidRDefault="00734D99" w:rsidP="005E56C2">
      <w:pPr>
        <w:spacing w:after="180"/>
        <w:contextualSpacing/>
        <w:jc w:val="both"/>
        <w:rPr>
          <w:szCs w:val="20"/>
        </w:rPr>
      </w:pPr>
      <w:r>
        <w:rPr>
          <w:szCs w:val="20"/>
        </w:rPr>
        <w:t xml:space="preserve">The RAN3 decision to leave area scope handling to the network, and the SA4 requirement that ongoing measurement sessions should not be impacted by changes to QoE configuration come into apparent conflict when the UE </w:t>
      </w:r>
      <w:r w:rsidR="00F8760F">
        <w:rPr>
          <w:szCs w:val="20"/>
        </w:rPr>
        <w:t xml:space="preserve">with an ongoing QoE measurement session moves out of the area scope of that particular QoE configuration. In the absence of any further enhancement, the target gNB may release the QoE configuration (as per RAN3 decision), which would violate SA4’s continuity requirement. This issue was discussed in R2-115e where many companies </w:t>
      </w:r>
      <w:r w:rsidR="000A7B7C">
        <w:rPr>
          <w:szCs w:val="20"/>
        </w:rPr>
        <w:t xml:space="preserve">(e.g., </w:t>
      </w:r>
      <w:r w:rsidR="000A7B7C">
        <w:rPr>
          <w:szCs w:val="20"/>
        </w:rPr>
        <w:fldChar w:fldCharType="begin"/>
      </w:r>
      <w:r w:rsidR="000A7B7C">
        <w:rPr>
          <w:szCs w:val="20"/>
        </w:rPr>
        <w:instrText xml:space="preserve"> REF _Ref85556352 \r \h </w:instrText>
      </w:r>
      <w:r w:rsidR="000A7B7C">
        <w:rPr>
          <w:szCs w:val="20"/>
        </w:rPr>
      </w:r>
      <w:r w:rsidR="000A7B7C">
        <w:rPr>
          <w:szCs w:val="20"/>
        </w:rPr>
        <w:fldChar w:fldCharType="separate"/>
      </w:r>
      <w:r w:rsidR="000A7B7C">
        <w:rPr>
          <w:szCs w:val="20"/>
        </w:rPr>
        <w:t>[4]</w:t>
      </w:r>
      <w:r w:rsidR="000A7B7C">
        <w:rPr>
          <w:szCs w:val="20"/>
        </w:rPr>
        <w:fldChar w:fldCharType="end"/>
      </w:r>
      <w:r w:rsidR="000A7B7C">
        <w:rPr>
          <w:szCs w:val="20"/>
        </w:rPr>
        <w:fldChar w:fldCharType="begin"/>
      </w:r>
      <w:r w:rsidR="000A7B7C">
        <w:rPr>
          <w:szCs w:val="20"/>
        </w:rPr>
        <w:instrText xml:space="preserve"> REF _Ref85553315 \r \h </w:instrText>
      </w:r>
      <w:r w:rsidR="000A7B7C">
        <w:rPr>
          <w:szCs w:val="20"/>
        </w:rPr>
      </w:r>
      <w:r w:rsidR="000A7B7C">
        <w:rPr>
          <w:szCs w:val="20"/>
        </w:rPr>
        <w:fldChar w:fldCharType="separate"/>
      </w:r>
      <w:r w:rsidR="000A7B7C">
        <w:rPr>
          <w:szCs w:val="20"/>
        </w:rPr>
        <w:t>[5]</w:t>
      </w:r>
      <w:r w:rsidR="000A7B7C">
        <w:rPr>
          <w:szCs w:val="20"/>
        </w:rPr>
        <w:fldChar w:fldCharType="end"/>
      </w:r>
      <w:r w:rsidR="000A7B7C">
        <w:rPr>
          <w:szCs w:val="20"/>
        </w:rPr>
        <w:fldChar w:fldCharType="begin"/>
      </w:r>
      <w:r w:rsidR="000A7B7C">
        <w:rPr>
          <w:szCs w:val="20"/>
        </w:rPr>
        <w:instrText xml:space="preserve"> REF _Ref85556357 \r \h </w:instrText>
      </w:r>
      <w:r w:rsidR="000A7B7C">
        <w:rPr>
          <w:szCs w:val="20"/>
        </w:rPr>
      </w:r>
      <w:r w:rsidR="000A7B7C">
        <w:rPr>
          <w:szCs w:val="20"/>
        </w:rPr>
        <w:fldChar w:fldCharType="separate"/>
      </w:r>
      <w:r w:rsidR="000A7B7C">
        <w:rPr>
          <w:szCs w:val="20"/>
        </w:rPr>
        <w:t>[6]</w:t>
      </w:r>
      <w:r w:rsidR="000A7B7C">
        <w:rPr>
          <w:szCs w:val="20"/>
        </w:rPr>
        <w:fldChar w:fldCharType="end"/>
      </w:r>
      <w:r w:rsidR="000A7B7C">
        <w:rPr>
          <w:szCs w:val="20"/>
        </w:rPr>
        <w:t>)</w:t>
      </w:r>
      <w:r w:rsidR="00604BC4">
        <w:rPr>
          <w:szCs w:val="20"/>
        </w:rPr>
        <w:t xml:space="preserve"> </w:t>
      </w:r>
      <w:r w:rsidR="00F8760F">
        <w:rPr>
          <w:szCs w:val="20"/>
        </w:rPr>
        <w:t xml:space="preserve">proposed that the UE should send session start and session end </w:t>
      </w:r>
      <w:r w:rsidR="00926F77">
        <w:rPr>
          <w:szCs w:val="20"/>
        </w:rPr>
        <w:t>notification to the gNB, enabling the source gNB to transfer the session state to the target gNB during handovers. However, this approach is still pending further discussion</w:t>
      </w:r>
      <w:r w:rsidR="00082808">
        <w:rPr>
          <w:szCs w:val="20"/>
        </w:rPr>
        <w:t>:</w:t>
      </w:r>
    </w:p>
    <w:p w14:paraId="05D3CB2B" w14:textId="77777777" w:rsidR="00926F77" w:rsidRDefault="00926F77" w:rsidP="005E56C2">
      <w:pPr>
        <w:spacing w:after="180"/>
        <w:contextualSpacing/>
        <w:jc w:val="both"/>
        <w:rPr>
          <w:szCs w:val="20"/>
        </w:rPr>
      </w:pPr>
    </w:p>
    <w:p w14:paraId="53DA6E3C" w14:textId="771EE0B7" w:rsidR="00734D99" w:rsidRDefault="00082808" w:rsidP="00082808">
      <w:pPr>
        <w:pBdr>
          <w:top w:val="single" w:sz="4" w:space="1" w:color="auto"/>
          <w:left w:val="single" w:sz="4" w:space="4" w:color="auto"/>
          <w:bottom w:val="single" w:sz="4" w:space="1" w:color="auto"/>
          <w:right w:val="single" w:sz="4" w:space="4" w:color="auto"/>
        </w:pBdr>
        <w:spacing w:after="180"/>
        <w:contextualSpacing/>
        <w:jc w:val="both"/>
        <w:rPr>
          <w:szCs w:val="20"/>
        </w:rPr>
      </w:pPr>
      <w:r w:rsidRPr="00082808">
        <w:rPr>
          <w:szCs w:val="20"/>
        </w:rPr>
        <w:t>FFS whether the gNB needs to know the QoE configurations for which there are ongoing QoE sessions, e.g. to enable QoE configuration handling upon mobility (pending SA4 reply on the ongoing QoE measurement session continuity requirement).</w:t>
      </w:r>
    </w:p>
    <w:p w14:paraId="769FC7BC" w14:textId="77777777" w:rsidR="00082808" w:rsidRDefault="00082808" w:rsidP="005E56C2">
      <w:pPr>
        <w:spacing w:after="180"/>
        <w:contextualSpacing/>
        <w:jc w:val="both"/>
        <w:rPr>
          <w:szCs w:val="20"/>
        </w:rPr>
      </w:pPr>
    </w:p>
    <w:p w14:paraId="5937C1CB" w14:textId="2C91A082" w:rsidR="00926F77" w:rsidRDefault="00926F77" w:rsidP="005E56C2">
      <w:pPr>
        <w:spacing w:after="180"/>
        <w:contextualSpacing/>
        <w:jc w:val="both"/>
        <w:rPr>
          <w:szCs w:val="20"/>
        </w:rPr>
      </w:pPr>
      <w:r>
        <w:rPr>
          <w:szCs w:val="20"/>
        </w:rPr>
        <w:t xml:space="preserve">In this contribution, we argue that the </w:t>
      </w:r>
      <w:r w:rsidR="009950D6">
        <w:rPr>
          <w:szCs w:val="20"/>
        </w:rPr>
        <w:t>candidate</w:t>
      </w:r>
      <w:r>
        <w:rPr>
          <w:szCs w:val="20"/>
        </w:rPr>
        <w:t xml:space="preserve"> approach (of sending start/stop indications) is </w:t>
      </w:r>
      <w:r w:rsidR="00BD3A6C">
        <w:rPr>
          <w:szCs w:val="20"/>
        </w:rPr>
        <w:t>problematic and</w:t>
      </w:r>
      <w:r>
        <w:rPr>
          <w:szCs w:val="20"/>
        </w:rPr>
        <w:t xml:space="preserve"> propose a different solution to address the problem of handling mobility for NR QoE.</w:t>
      </w:r>
    </w:p>
    <w:p w14:paraId="329FF664" w14:textId="19279879" w:rsidR="00585371" w:rsidRDefault="00EA5A5B" w:rsidP="008674CA">
      <w:pPr>
        <w:pStyle w:val="Heading1"/>
        <w:jc w:val="both"/>
      </w:pPr>
      <w:r>
        <w:lastRenderedPageBreak/>
        <w:t>Discussion</w:t>
      </w:r>
    </w:p>
    <w:p w14:paraId="3499F862" w14:textId="4334AB82" w:rsidR="005A368F" w:rsidRDefault="009950D6" w:rsidP="00A17150">
      <w:r>
        <w:t>Some of the challenges associated with sending session start/end indications to the gNB are as follows.</w:t>
      </w:r>
    </w:p>
    <w:p w14:paraId="56A463A8" w14:textId="77777777" w:rsidR="008E13C3" w:rsidRDefault="008E13C3" w:rsidP="00A17150"/>
    <w:p w14:paraId="403C7503" w14:textId="3425B5E6" w:rsidR="008E13C3" w:rsidRDefault="008E13C3" w:rsidP="008E13C3">
      <w:r w:rsidRPr="00C85A01">
        <w:rPr>
          <w:b/>
          <w:bCs/>
        </w:rPr>
        <w:t>Information leakage:</w:t>
      </w:r>
      <w:r>
        <w:t xml:space="preserve"> The UE has to send a message every time a session starts/ends for each QoE configuration. </w:t>
      </w:r>
      <w:r w:rsidR="00E322AB">
        <w:t xml:space="preserve">Even if such excessive signaling is deemed acceptable, there is a larger issue at play. </w:t>
      </w:r>
      <w:r>
        <w:t xml:space="preserve">These indications may enable the RAN (and potentially eavesdroppers) to obtain information about what kind of applications the user is running, how long these sessions last etc. This kind of “meta” information should be considered private </w:t>
      </w:r>
      <w:r w:rsidR="00C85A01">
        <w:t>and can be used, for example, to fingerprint users based on their usage pattern.</w:t>
      </w:r>
      <w:r w:rsidR="00E322AB">
        <w:t xml:space="preserve"> </w:t>
      </w:r>
    </w:p>
    <w:p w14:paraId="3E3C68BE" w14:textId="2E8B225B" w:rsidR="00C85A01" w:rsidRDefault="00C85A01" w:rsidP="008E13C3"/>
    <w:p w14:paraId="2AB1D507" w14:textId="7EE9EC98" w:rsidR="00C85A01" w:rsidRDefault="00C85A01" w:rsidP="008E13C3">
      <w:r w:rsidRPr="00C85A01">
        <w:rPr>
          <w:b/>
          <w:bCs/>
        </w:rPr>
        <w:t>gNB complexity:</w:t>
      </w:r>
      <w:r>
        <w:t xml:space="preserve"> The gNB needs to</w:t>
      </w:r>
      <w:r w:rsidR="006D2868">
        <w:t xml:space="preserve"> keep track of the activity state</w:t>
      </w:r>
      <w:r>
        <w:t xml:space="preserve"> for each session of each UE.</w:t>
      </w:r>
    </w:p>
    <w:p w14:paraId="7F87C102" w14:textId="16046CC7" w:rsidR="00C85A01" w:rsidRDefault="00C85A01" w:rsidP="008E13C3"/>
    <w:p w14:paraId="42CDDC4B" w14:textId="4EFE756B" w:rsidR="00C85A01" w:rsidRDefault="00C85A01" w:rsidP="008E13C3">
      <w:r w:rsidRPr="00C85A01">
        <w:rPr>
          <w:b/>
          <w:bCs/>
        </w:rPr>
        <w:t>CT1 impact:</w:t>
      </w:r>
      <w:r>
        <w:t xml:space="preserve"> AT commands will be needed for the UE App layer to indicate session start/stop to the UE AS layer.</w:t>
      </w:r>
    </w:p>
    <w:p w14:paraId="1F471555" w14:textId="6A61C0F7" w:rsidR="008E13C3" w:rsidRDefault="008E13C3" w:rsidP="00A17150"/>
    <w:p w14:paraId="2258E614" w14:textId="42E242B1" w:rsidR="005A368F" w:rsidRPr="003C7000" w:rsidRDefault="00E322AB" w:rsidP="00A17150">
      <w:pPr>
        <w:rPr>
          <w:b/>
          <w:bCs/>
        </w:rPr>
      </w:pPr>
      <w:r w:rsidRPr="003C7000">
        <w:rPr>
          <w:b/>
          <w:bCs/>
        </w:rPr>
        <w:t>Observation</w:t>
      </w:r>
      <w:r w:rsidR="00D041D5">
        <w:rPr>
          <w:b/>
          <w:bCs/>
        </w:rPr>
        <w:t xml:space="preserve"> 1</w:t>
      </w:r>
      <w:r w:rsidRPr="003C7000">
        <w:rPr>
          <w:b/>
          <w:bCs/>
        </w:rPr>
        <w:t xml:space="preserve">: The use of start/stop indications may lead to leakage of </w:t>
      </w:r>
      <w:r w:rsidR="006D6D66" w:rsidRPr="003C7000">
        <w:rPr>
          <w:b/>
          <w:bCs/>
        </w:rPr>
        <w:t>unintentional and/or unauthorized</w:t>
      </w:r>
      <w:r w:rsidRPr="003C7000">
        <w:rPr>
          <w:b/>
          <w:bCs/>
        </w:rPr>
        <w:t xml:space="preserve"> </w:t>
      </w:r>
      <w:r w:rsidR="006D6D66" w:rsidRPr="003C7000">
        <w:rPr>
          <w:b/>
          <w:bCs/>
        </w:rPr>
        <w:t>information and entails significant complexity at both UE and gNB.</w:t>
      </w:r>
    </w:p>
    <w:p w14:paraId="680D6492" w14:textId="64D82248" w:rsidR="006D6D66" w:rsidRDefault="006D6D66" w:rsidP="00A17150"/>
    <w:p w14:paraId="52A81DEA" w14:textId="61107D81" w:rsidR="006D6D66" w:rsidRDefault="00C218D7" w:rsidP="00A17150">
      <w:r>
        <w:t>An alternate approach would be to have the gNB inform the UE of the reason for QoE measurement deactivation, as shown in the flowchart in Figure 1.</w:t>
      </w:r>
    </w:p>
    <w:p w14:paraId="50ABB00E" w14:textId="77777777" w:rsidR="003C7000" w:rsidRDefault="003C7000" w:rsidP="00A17150"/>
    <w:p w14:paraId="7B0BA403" w14:textId="77777777" w:rsidR="003C7000" w:rsidRDefault="003C7000" w:rsidP="00A17150"/>
    <w:p w14:paraId="16666D3A" w14:textId="77777777" w:rsidR="003C7000" w:rsidRDefault="003C7000" w:rsidP="003C7000">
      <w:pPr>
        <w:keepNext/>
      </w:pPr>
      <w:r w:rsidRPr="003C7000">
        <w:rPr>
          <w:noProof/>
        </w:rPr>
        <w:drawing>
          <wp:inline distT="0" distB="0" distL="0" distR="0" wp14:anchorId="46FF5BDC" wp14:editId="507258AA">
            <wp:extent cx="6120765" cy="3440430"/>
            <wp:effectExtent l="0" t="0" r="635" b="127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8"/>
                    <a:stretch>
                      <a:fillRect/>
                    </a:stretch>
                  </pic:blipFill>
                  <pic:spPr>
                    <a:xfrm>
                      <a:off x="0" y="0"/>
                      <a:ext cx="6120765" cy="3440430"/>
                    </a:xfrm>
                    <a:prstGeom prst="rect">
                      <a:avLst/>
                    </a:prstGeom>
                  </pic:spPr>
                </pic:pic>
              </a:graphicData>
            </a:graphic>
          </wp:inline>
        </w:drawing>
      </w:r>
    </w:p>
    <w:p w14:paraId="0E3EFBAC" w14:textId="77777777" w:rsidR="003C7000" w:rsidRDefault="003C7000" w:rsidP="003C7000">
      <w:pPr>
        <w:pStyle w:val="Caption"/>
        <w:rPr>
          <w:b w:val="0"/>
          <w:bCs w:val="0"/>
          <w:iCs/>
        </w:rPr>
      </w:pPr>
    </w:p>
    <w:p w14:paraId="538A8E53" w14:textId="658DDC08" w:rsidR="00C218D7" w:rsidRDefault="003C7000" w:rsidP="003C7000">
      <w:pPr>
        <w:pStyle w:val="Caption"/>
        <w:rPr>
          <w:b w:val="0"/>
          <w:bCs w:val="0"/>
          <w:iCs/>
        </w:rPr>
      </w:pPr>
      <w:r w:rsidRPr="003C7000">
        <w:rPr>
          <w:b w:val="0"/>
          <w:bCs w:val="0"/>
          <w:iCs/>
        </w:rPr>
        <w:t xml:space="preserve">Figure </w:t>
      </w:r>
      <w:r w:rsidRPr="003C7000">
        <w:rPr>
          <w:b w:val="0"/>
          <w:bCs w:val="0"/>
          <w:iCs/>
        </w:rPr>
        <w:fldChar w:fldCharType="begin"/>
      </w:r>
      <w:r w:rsidRPr="003C7000">
        <w:rPr>
          <w:b w:val="0"/>
          <w:bCs w:val="0"/>
          <w:iCs/>
        </w:rPr>
        <w:instrText xml:space="preserve"> SEQ Figure \* ARABIC </w:instrText>
      </w:r>
      <w:r w:rsidRPr="003C7000">
        <w:rPr>
          <w:b w:val="0"/>
          <w:bCs w:val="0"/>
          <w:iCs/>
        </w:rPr>
        <w:fldChar w:fldCharType="separate"/>
      </w:r>
      <w:r w:rsidRPr="003C7000">
        <w:rPr>
          <w:b w:val="0"/>
          <w:bCs w:val="0"/>
          <w:iCs/>
        </w:rPr>
        <w:t>1</w:t>
      </w:r>
      <w:r w:rsidRPr="003C7000">
        <w:rPr>
          <w:b w:val="0"/>
          <w:bCs w:val="0"/>
          <w:iCs/>
        </w:rPr>
        <w:fldChar w:fldCharType="end"/>
      </w:r>
      <w:r w:rsidRPr="003C7000">
        <w:rPr>
          <w:b w:val="0"/>
          <w:bCs w:val="0"/>
          <w:iCs/>
        </w:rPr>
        <w:t>: Using explicit out-of-area indication</w:t>
      </w:r>
    </w:p>
    <w:p w14:paraId="071769ED" w14:textId="77777777" w:rsidR="00B533C3" w:rsidRDefault="00E84563" w:rsidP="003C7000">
      <w:r>
        <w:t xml:space="preserve">In this mechanism, the UE decides on the action to be taken when it receives a command to release a QoE configuration. If the release command is generated due to area handling considerations, and if the corresponding session is active, then the UE AS layer will delay informing the UE App layer </w:t>
      </w:r>
      <w:r>
        <w:lastRenderedPageBreak/>
        <w:t xml:space="preserve">until after the session ends. On the other hand, if the release is not related to area handling (OAM has decided to release the QoE configuration), the UE AS layer will immediately notify the UE App layer. </w:t>
      </w:r>
    </w:p>
    <w:p w14:paraId="53361667" w14:textId="77777777" w:rsidR="00B533C3" w:rsidRDefault="00B533C3" w:rsidP="003C7000"/>
    <w:p w14:paraId="504787AA" w14:textId="7B4D1657" w:rsidR="003C7000" w:rsidRDefault="00B533C3" w:rsidP="003C7000">
      <w:r>
        <w:t>The use of explicit out-of</w:t>
      </w:r>
      <w:r w:rsidR="00AD720D">
        <w:t>-</w:t>
      </w:r>
      <w:r>
        <w:t xml:space="preserve">area indication has many benefits. </w:t>
      </w:r>
      <w:r w:rsidR="00E84563">
        <w:t xml:space="preserve">The primary advantage of this mechanism is that the UE need not send session/start indications to the gNB. </w:t>
      </w:r>
      <w:r w:rsidR="00D041D5">
        <w:t>The gNB does not need to maintain the activity status of each QoE configuration sent to each UE, and during handover there is no need for the source gNB to transfer such activity information to the target gNB. Moreover, since activity indications are not revealed to RAN, there is no need to specify AT commands for activity indication.</w:t>
      </w:r>
    </w:p>
    <w:p w14:paraId="0A9DC94F" w14:textId="62409205" w:rsidR="00D041D5" w:rsidRDefault="00D041D5" w:rsidP="003C7000"/>
    <w:p w14:paraId="622EBE1A" w14:textId="47E84794" w:rsidR="00D041D5" w:rsidRPr="00D041D5" w:rsidRDefault="00D041D5" w:rsidP="003C7000">
      <w:pPr>
        <w:rPr>
          <w:b/>
          <w:bCs/>
        </w:rPr>
      </w:pPr>
      <w:r w:rsidRPr="00D041D5">
        <w:rPr>
          <w:b/>
          <w:bCs/>
        </w:rPr>
        <w:t>Proposal 1: The gNB provides explicit out-of-area indication to the UE while releasing QoE measurement configuration.</w:t>
      </w:r>
    </w:p>
    <w:p w14:paraId="350ECE43" w14:textId="140B9D7C" w:rsidR="00D041D5" w:rsidRPr="00D041D5" w:rsidRDefault="00D041D5" w:rsidP="003C7000">
      <w:pPr>
        <w:rPr>
          <w:b/>
          <w:bCs/>
        </w:rPr>
      </w:pPr>
    </w:p>
    <w:p w14:paraId="3949D8D7" w14:textId="2B711065" w:rsidR="003C7000" w:rsidRPr="003C7000" w:rsidRDefault="00D041D5" w:rsidP="003C7000">
      <w:r>
        <w:t>A snippet of ASN.1 code to reflect how the gNB may indicate configuration release to the UE is provided in the annex.</w:t>
      </w:r>
    </w:p>
    <w:p w14:paraId="2896E657" w14:textId="3DABA2E5" w:rsidR="00854A60" w:rsidRPr="00A6576F" w:rsidRDefault="009C5A97" w:rsidP="005E56C2">
      <w:pPr>
        <w:pStyle w:val="Heading1"/>
        <w:jc w:val="both"/>
      </w:pPr>
      <w:r w:rsidRPr="00A6576F">
        <w:t>Conclusion</w:t>
      </w:r>
      <w:r w:rsidR="00F54B69">
        <w:t>s</w:t>
      </w:r>
    </w:p>
    <w:p w14:paraId="66EDC061" w14:textId="707245E6" w:rsidR="00A26CB1" w:rsidRDefault="00F54B69" w:rsidP="00BF6FA1">
      <w:pPr>
        <w:jc w:val="both"/>
        <w:rPr>
          <w:iCs/>
        </w:rPr>
      </w:pPr>
      <w:r>
        <w:rPr>
          <w:iCs/>
        </w:rPr>
        <w:t>In this document, we provide our views on</w:t>
      </w:r>
      <w:r w:rsidR="00D041D5">
        <w:rPr>
          <w:iCs/>
        </w:rPr>
        <w:t xml:space="preserve"> how mobility in NR QoE can be managed. Our observations and proposal are summarized below.</w:t>
      </w:r>
    </w:p>
    <w:p w14:paraId="6AF08E4D" w14:textId="1B8FF94E" w:rsidR="00D041D5" w:rsidRDefault="00D041D5" w:rsidP="00BF6FA1">
      <w:pPr>
        <w:jc w:val="both"/>
        <w:rPr>
          <w:iCs/>
        </w:rPr>
      </w:pPr>
    </w:p>
    <w:p w14:paraId="4BDDC417" w14:textId="77777777" w:rsidR="00D041D5" w:rsidRPr="003C7000" w:rsidRDefault="00D041D5" w:rsidP="00D041D5">
      <w:pPr>
        <w:rPr>
          <w:b/>
          <w:bCs/>
        </w:rPr>
      </w:pPr>
      <w:r w:rsidRPr="003C7000">
        <w:rPr>
          <w:b/>
          <w:bCs/>
        </w:rPr>
        <w:t>Observation</w:t>
      </w:r>
      <w:r>
        <w:rPr>
          <w:b/>
          <w:bCs/>
        </w:rPr>
        <w:t xml:space="preserve"> 1</w:t>
      </w:r>
      <w:r w:rsidRPr="003C7000">
        <w:rPr>
          <w:b/>
          <w:bCs/>
        </w:rPr>
        <w:t>: The use of start/stop indications may lead to leakage of unintentional and/or unauthorized information and entails significant complexity at both UE and gNB.</w:t>
      </w:r>
    </w:p>
    <w:p w14:paraId="7D5BF548" w14:textId="77777777" w:rsidR="00D041D5" w:rsidRDefault="00D041D5" w:rsidP="00BF6FA1">
      <w:pPr>
        <w:jc w:val="both"/>
        <w:rPr>
          <w:iCs/>
        </w:rPr>
      </w:pPr>
    </w:p>
    <w:p w14:paraId="48B7E453" w14:textId="15B886CB" w:rsidR="00BC286B" w:rsidRPr="00BC286B" w:rsidRDefault="00D041D5" w:rsidP="00D041D5">
      <w:pPr>
        <w:rPr>
          <w:b/>
          <w:bCs/>
        </w:rPr>
      </w:pPr>
      <w:r w:rsidRPr="00D041D5">
        <w:rPr>
          <w:b/>
          <w:bCs/>
        </w:rPr>
        <w:t>Proposal 1: The gNB provides explicit out-of-area indication to the UE while releasing QoE measurement configuration.</w:t>
      </w:r>
    </w:p>
    <w:p w14:paraId="2E75F001" w14:textId="77777777" w:rsidR="007E70BB" w:rsidRPr="00A6576F" w:rsidRDefault="005C63AE" w:rsidP="005E56C2">
      <w:pPr>
        <w:pStyle w:val="Heading1"/>
        <w:jc w:val="both"/>
      </w:pPr>
      <w:r w:rsidRPr="00A6576F">
        <w:t>References</w:t>
      </w:r>
    </w:p>
    <w:p w14:paraId="5A6B64C8" w14:textId="7FF2B9DD" w:rsidR="00251EDF" w:rsidRDefault="00C67F4F"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5460905"/>
      <w:bookmarkStart w:id="1" w:name="_Ref85552807"/>
      <w:r>
        <w:t>R2-2106</w:t>
      </w:r>
      <w:r w:rsidR="00093CF2">
        <w:t>949</w:t>
      </w:r>
      <w:r>
        <w:t xml:space="preserve">, </w:t>
      </w:r>
      <w:bookmarkEnd w:id="0"/>
      <w:r w:rsidR="00093CF2" w:rsidRPr="00E14330">
        <w:t>LS on the area handling for QoE during mobility</w:t>
      </w:r>
      <w:r w:rsidR="00251EDF">
        <w:t>,</w:t>
      </w:r>
      <w:r w:rsidR="00093CF2">
        <w:t xml:space="preserve"> Source:RAN3</w:t>
      </w:r>
      <w:bookmarkStart w:id="2" w:name="_Ref85552823"/>
      <w:bookmarkEnd w:id="1"/>
    </w:p>
    <w:p w14:paraId="22E298A2" w14:textId="77777777" w:rsidR="00251EDF" w:rsidRDefault="00EB45C1"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EB45C1">
        <w:t>3GPP TS 26.114 Technical Specification 3rd Generation Partnership Project; Technical Specification Group Services and System Aspects; IP Multimedia Subsystem (IMS); Multimedia Telephony; Media handling and interaction (Release 16).</w:t>
      </w:r>
      <w:bookmarkStart w:id="3" w:name="_Ref85552825"/>
      <w:bookmarkEnd w:id="2"/>
    </w:p>
    <w:p w14:paraId="173BA80A" w14:textId="77777777" w:rsidR="00251EDF" w:rsidRDefault="00EB45C1"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EB45C1">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bookmarkStart w:id="4" w:name="_Ref85552911"/>
      <w:bookmarkEnd w:id="3"/>
    </w:p>
    <w:p w14:paraId="70D9ECF3" w14:textId="000A105B" w:rsidR="00251EDF" w:rsidRDefault="00EB45C1"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85556352"/>
      <w:r>
        <w:t xml:space="preserve">R2-2108110, </w:t>
      </w:r>
      <w:r w:rsidRPr="00EB45C1">
        <w:t>Mobility Support for NR QoE Management</w:t>
      </w:r>
      <w:r w:rsidR="00251EDF">
        <w:t>,</w:t>
      </w:r>
      <w:r w:rsidRPr="00EB45C1">
        <w:t xml:space="preserve"> Ericsson</w:t>
      </w:r>
      <w:bookmarkEnd w:id="4"/>
      <w:bookmarkEnd w:id="5"/>
    </w:p>
    <w:p w14:paraId="2792C699" w14:textId="717C34EF" w:rsidR="00251EDF" w:rsidRDefault="00251EDF"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5553315"/>
      <w:r w:rsidRPr="00251EDF">
        <w:t>R2-2108207, QoE handling during UE mobility</w:t>
      </w:r>
      <w:r>
        <w:t>, Huawei, HiSilicon</w:t>
      </w:r>
      <w:bookmarkEnd w:id="6"/>
    </w:p>
    <w:p w14:paraId="4507A272" w14:textId="66996A6F" w:rsidR="00A26E69" w:rsidRDefault="00A26E69"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5556357"/>
      <w:r>
        <w:t xml:space="preserve">R2-2107381, </w:t>
      </w:r>
      <w:r w:rsidRPr="00A26E69">
        <w:t>Activation and deactivation for QoE collection</w:t>
      </w:r>
      <w:r>
        <w:t>, CATT</w:t>
      </w:r>
      <w:bookmarkEnd w:id="7"/>
    </w:p>
    <w:p w14:paraId="389864EC" w14:textId="68F63475" w:rsidR="00082808" w:rsidRDefault="00082808" w:rsidP="00082808">
      <w:pPr>
        <w:pStyle w:val="Heading1"/>
        <w:numPr>
          <w:ilvl w:val="0"/>
          <w:numId w:val="0"/>
        </w:numPr>
        <w:ind w:left="432" w:hanging="432"/>
        <w:jc w:val="both"/>
      </w:pPr>
      <w:r>
        <w:t>Annex</w:t>
      </w:r>
    </w:p>
    <w:p w14:paraId="4847643D" w14:textId="76EDD9DB" w:rsidR="00697E83" w:rsidRDefault="00697E83" w:rsidP="00697E83">
      <w:r>
        <w:t xml:space="preserve">A snippet of ASN.1 code </w:t>
      </w:r>
      <w:r w:rsidR="00065EFB">
        <w:t xml:space="preserve">and associated field description </w:t>
      </w:r>
      <w:r>
        <w:t>is provided below to describe a possible impl</w:t>
      </w:r>
      <w:r w:rsidR="00065EFB">
        <w:t>eme</w:t>
      </w:r>
      <w:r>
        <w:t>ntation of expl</w:t>
      </w:r>
      <w:r w:rsidR="00065EFB">
        <w:t>ic</w:t>
      </w:r>
      <w:r>
        <w:t>it out-of-area indication during QoE release. Changes from the running CR are highlighted.</w:t>
      </w:r>
    </w:p>
    <w:p w14:paraId="667260FC" w14:textId="4CFF92BD" w:rsidR="00065EFB" w:rsidRDefault="00065EFB" w:rsidP="00697E83"/>
    <w:p w14:paraId="03AD4BC8" w14:textId="2A40F972" w:rsidR="00065EFB" w:rsidRDefault="00065EFB" w:rsidP="00697E83"/>
    <w:p w14:paraId="6BDF4DCB" w14:textId="77777777" w:rsidR="00065EFB" w:rsidRDefault="00065EFB" w:rsidP="00065EFB">
      <w:pPr>
        <w:pStyle w:val="PL"/>
      </w:pPr>
      <w:r>
        <w:t xml:space="preserve">OtherConfig-v17xy ::=                   </w:t>
      </w:r>
      <w:r>
        <w:rPr>
          <w:color w:val="993366"/>
        </w:rPr>
        <w:t>SEQUENCE</w:t>
      </w:r>
      <w:r>
        <w:t xml:space="preserve"> {</w:t>
      </w:r>
    </w:p>
    <w:p w14:paraId="70B86685" w14:textId="7A81CEBE" w:rsidR="00065EFB" w:rsidRDefault="00065EFB" w:rsidP="00065EFB">
      <w:pPr>
        <w:pStyle w:val="PL"/>
        <w:rPr>
          <w:color w:val="808080"/>
        </w:rPr>
      </w:pPr>
      <w:r>
        <w:t xml:space="preserve">    measConfigAppLayerToAddList-r17      </w:t>
      </w:r>
      <w:r>
        <w:tab/>
      </w:r>
      <w:r>
        <w:rPr>
          <w:color w:val="993366"/>
        </w:rPr>
        <w:t>SEQUENCE</w:t>
      </w:r>
      <w:r>
        <w:t xml:space="preserve"> (</w:t>
      </w:r>
      <w:r>
        <w:rPr>
          <w:color w:val="993366"/>
        </w:rPr>
        <w:t>SIZE</w:t>
      </w:r>
      <w:r>
        <w:t xml:space="preserve"> (1..maxNrofQoE-r17))</w:t>
      </w:r>
      <w:r>
        <w:rPr>
          <w:color w:val="993366"/>
        </w:rPr>
        <w:t xml:space="preserve"> OF</w:t>
      </w:r>
      <w:r>
        <w:t xml:space="preserve"> MeasConfigAppLayer-r17   </w:t>
      </w:r>
      <w:r>
        <w:rPr>
          <w:color w:val="993366"/>
        </w:rPr>
        <w:t>OPTIONAL,</w:t>
      </w:r>
      <w:r>
        <w:t xml:space="preserve">    </w:t>
      </w:r>
      <w:r>
        <w:rPr>
          <w:color w:val="808080"/>
        </w:rPr>
        <w:t>-- Need N</w:t>
      </w:r>
    </w:p>
    <w:p w14:paraId="6D41ED3B" w14:textId="1F5170CE" w:rsidR="00065EFB" w:rsidRDefault="00065EFB" w:rsidP="00065EFB">
      <w:pPr>
        <w:pStyle w:val="PL"/>
        <w:rPr>
          <w:color w:val="808080"/>
        </w:rPr>
      </w:pPr>
      <w:r>
        <w:t xml:space="preserve">    measConfigAppLayerToReleaseList-r17     </w:t>
      </w:r>
      <w:r>
        <w:rPr>
          <w:color w:val="993366"/>
        </w:rPr>
        <w:t>SEQUENCE</w:t>
      </w:r>
      <w:r>
        <w:t xml:space="preserve"> (</w:t>
      </w:r>
      <w:r>
        <w:rPr>
          <w:color w:val="993366"/>
        </w:rPr>
        <w:t>SIZE</w:t>
      </w:r>
      <w:r>
        <w:t xml:space="preserve"> (1..maxNrofQoE-r17))</w:t>
      </w:r>
      <w:r>
        <w:rPr>
          <w:color w:val="993366"/>
        </w:rPr>
        <w:t xml:space="preserve"> OF</w:t>
      </w:r>
      <w:r>
        <w:t xml:space="preserve"> MeasConfigAppLayerRelease-r17 </w:t>
      </w:r>
      <w:r>
        <w:rPr>
          <w:color w:val="993366"/>
        </w:rPr>
        <w:t>OPTIONAL</w:t>
      </w:r>
      <w:r>
        <w:t xml:space="preserve">     </w:t>
      </w:r>
      <w:r>
        <w:rPr>
          <w:color w:val="808080"/>
        </w:rPr>
        <w:t>-- Need N</w:t>
      </w:r>
    </w:p>
    <w:p w14:paraId="1536E673" w14:textId="77777777" w:rsidR="00065EFB" w:rsidRDefault="00065EFB" w:rsidP="00065EFB">
      <w:pPr>
        <w:pStyle w:val="PL"/>
      </w:pPr>
      <w:r>
        <w:t>}</w:t>
      </w:r>
    </w:p>
    <w:p w14:paraId="7633808C" w14:textId="77777777" w:rsidR="00065EFB" w:rsidRDefault="00065EFB" w:rsidP="00065EFB">
      <w:pPr>
        <w:pStyle w:val="PL"/>
      </w:pPr>
    </w:p>
    <w:p w14:paraId="30D77299" w14:textId="77777777" w:rsidR="00065EFB" w:rsidRDefault="00065EFB" w:rsidP="00065EFB">
      <w:pPr>
        <w:pStyle w:val="PL"/>
      </w:pPr>
      <w:bookmarkStart w:id="8" w:name="_Hlk73087151"/>
      <w:r>
        <w:t xml:space="preserve">MeasConfigAppLayer-r17 ::=        </w:t>
      </w:r>
      <w:r>
        <w:rPr>
          <w:color w:val="993366"/>
        </w:rPr>
        <w:t>SEQUENCE</w:t>
      </w:r>
      <w:r>
        <w:t xml:space="preserve"> {</w:t>
      </w:r>
    </w:p>
    <w:p w14:paraId="5454153F" w14:textId="77777777" w:rsidR="00065EFB" w:rsidRDefault="00065EFB" w:rsidP="00065EFB">
      <w:pPr>
        <w:pStyle w:val="PL"/>
      </w:pPr>
      <w:r>
        <w:t xml:space="preserve">    measConfigAppLayerId-r17            MeasConfigAppLayerId-r17,</w:t>
      </w:r>
    </w:p>
    <w:p w14:paraId="38BFFE89" w14:textId="77777777" w:rsidR="00065EFB" w:rsidRDefault="00065EFB" w:rsidP="00065EFB">
      <w:pPr>
        <w:pStyle w:val="PL"/>
        <w:rPr>
          <w:color w:val="808080"/>
        </w:rPr>
      </w:pPr>
      <w:r>
        <w:t xml:space="preserve">    measConfigAppLayerContainer-r17</w:t>
      </w:r>
      <w:r>
        <w:tab/>
      </w:r>
      <w:r>
        <w:tab/>
        <w:t>OCTET STRING,</w:t>
      </w:r>
    </w:p>
    <w:p w14:paraId="38948FC8" w14:textId="77777777" w:rsidR="00065EFB" w:rsidRDefault="00065EFB" w:rsidP="00065EFB">
      <w:pPr>
        <w:pStyle w:val="PL"/>
      </w:pPr>
      <w:r>
        <w:t xml:space="preserve">    serviceType-r17</w:t>
      </w:r>
      <w:r>
        <w:tab/>
      </w:r>
      <w:r>
        <w:tab/>
      </w:r>
      <w:r>
        <w:tab/>
      </w:r>
      <w:r>
        <w:tab/>
      </w:r>
      <w:r>
        <w:tab/>
      </w:r>
      <w:r>
        <w:tab/>
        <w:t>ENUMERATED {streaming, mtsi, spare6, spare5, spare4, spare3, spare2, spare1}  OPTIONAL,  -- Need N</w:t>
      </w:r>
    </w:p>
    <w:p w14:paraId="365CC678" w14:textId="126147B6" w:rsidR="00065EFB" w:rsidRDefault="00065EFB" w:rsidP="00065EFB">
      <w:pPr>
        <w:pStyle w:val="PL"/>
      </w:pPr>
      <w:r>
        <w:t xml:space="preserve">    ...</w:t>
      </w:r>
    </w:p>
    <w:p w14:paraId="3908BF6C" w14:textId="1FA475D1" w:rsidR="00065EFB" w:rsidRDefault="00065EFB" w:rsidP="00065EFB">
      <w:pPr>
        <w:pStyle w:val="PL"/>
      </w:pPr>
    </w:p>
    <w:p w14:paraId="05057931" w14:textId="70096D17" w:rsidR="00065EFB" w:rsidRDefault="00065EFB" w:rsidP="00065EFB">
      <w:pPr>
        <w:pStyle w:val="PL"/>
      </w:pPr>
      <w:r>
        <w:t xml:space="preserve">MeasConfigAppLayerRelease-r17 ::=        </w:t>
      </w:r>
      <w:r>
        <w:rPr>
          <w:color w:val="993366"/>
        </w:rPr>
        <w:t>SEQUENCE</w:t>
      </w:r>
      <w:r>
        <w:t xml:space="preserve"> {</w:t>
      </w:r>
    </w:p>
    <w:p w14:paraId="3E070E5D" w14:textId="77777777" w:rsidR="00065EFB" w:rsidRDefault="00065EFB" w:rsidP="00065EFB">
      <w:pPr>
        <w:pStyle w:val="PL"/>
      </w:pPr>
      <w:r>
        <w:t xml:space="preserve">    measConfigAppLayerId-r17            MeasConfigAppLayerId-r17,</w:t>
      </w:r>
    </w:p>
    <w:p w14:paraId="4836F310" w14:textId="5ADA2EB6" w:rsidR="00065EFB" w:rsidRDefault="00065EFB" w:rsidP="00065EFB">
      <w:pPr>
        <w:pStyle w:val="PL"/>
      </w:pPr>
      <w:r>
        <w:t xml:space="preserve">    areaOutOfScope-r17</w:t>
      </w:r>
      <w:r>
        <w:tab/>
      </w:r>
      <w:r>
        <w:tab/>
      </w:r>
      <w:r>
        <w:tab/>
      </w:r>
      <w:r>
        <w:tab/>
      </w:r>
      <w:r>
        <w:tab/>
        <w:t>ENUMERATED {true}</w:t>
      </w:r>
    </w:p>
    <w:p w14:paraId="2036C921" w14:textId="77777777" w:rsidR="00065EFB" w:rsidRDefault="00065EFB" w:rsidP="00065EFB">
      <w:pPr>
        <w:pStyle w:val="PL"/>
        <w:rPr>
          <w:color w:val="808080"/>
        </w:rPr>
      </w:pPr>
      <w:r>
        <w:t>}</w:t>
      </w:r>
    </w:p>
    <w:bookmarkEnd w:id="8"/>
    <w:p w14:paraId="19AE5053" w14:textId="77777777" w:rsidR="00065EFB" w:rsidRDefault="00065EFB" w:rsidP="00697E83"/>
    <w:p w14:paraId="08FE5606" w14:textId="2036DD0D" w:rsidR="00065EFB" w:rsidRDefault="00065EFB" w:rsidP="0020477D"/>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065EFB" w14:paraId="5EFCDCED" w14:textId="77777777" w:rsidTr="00065EFB">
        <w:trPr>
          <w:cantSplit/>
          <w:tblHeader/>
        </w:trPr>
        <w:tc>
          <w:tcPr>
            <w:tcW w:w="10368" w:type="dxa"/>
            <w:tcBorders>
              <w:top w:val="single" w:sz="4" w:space="0" w:color="auto"/>
              <w:left w:val="single" w:sz="4" w:space="0" w:color="auto"/>
              <w:bottom w:val="single" w:sz="4" w:space="0" w:color="auto"/>
              <w:right w:val="single" w:sz="4" w:space="0" w:color="auto"/>
            </w:tcBorders>
          </w:tcPr>
          <w:p w14:paraId="50260E3B" w14:textId="731B8B13" w:rsidR="00065EFB" w:rsidRDefault="00065EFB" w:rsidP="002574D6">
            <w:pPr>
              <w:pStyle w:val="TAH"/>
              <w:rPr>
                <w:lang w:eastAsia="en-GB"/>
              </w:rPr>
            </w:pPr>
            <w:r>
              <w:rPr>
                <w:i/>
                <w:lang w:eastAsia="en-GB"/>
              </w:rPr>
              <w:t>OtherConfig</w:t>
            </w:r>
            <w:r>
              <w:rPr>
                <w:iCs/>
                <w:lang w:eastAsia="en-GB"/>
              </w:rPr>
              <w:t xml:space="preserve"> field descriptions                      </w:t>
            </w:r>
          </w:p>
        </w:tc>
      </w:tr>
      <w:tr w:rsidR="00065EFB" w14:paraId="6CA45A90" w14:textId="77777777" w:rsidTr="00065EFB">
        <w:trPr>
          <w:cantSplit/>
          <w:tblHeader/>
        </w:trPr>
        <w:tc>
          <w:tcPr>
            <w:tcW w:w="10368" w:type="dxa"/>
            <w:tcBorders>
              <w:top w:val="single" w:sz="4" w:space="0" w:color="auto"/>
              <w:left w:val="single" w:sz="4" w:space="0" w:color="auto"/>
              <w:bottom w:val="single" w:sz="4" w:space="0" w:color="auto"/>
              <w:right w:val="single" w:sz="4" w:space="0" w:color="auto"/>
            </w:tcBorders>
          </w:tcPr>
          <w:p w14:paraId="25B454BA" w14:textId="33E3AF23" w:rsidR="00065EFB" w:rsidRDefault="00065EFB" w:rsidP="002574D6">
            <w:pPr>
              <w:pStyle w:val="TAL"/>
              <w:rPr>
                <w:b/>
                <w:bCs/>
                <w:i/>
                <w:iCs/>
                <w:lang w:eastAsia="sv-SE"/>
              </w:rPr>
            </w:pPr>
            <w:r>
              <w:rPr>
                <w:b/>
                <w:bCs/>
                <w:i/>
                <w:iCs/>
                <w:lang w:eastAsia="sv-SE"/>
              </w:rPr>
              <w:t>areaOutOfScope-r17</w:t>
            </w:r>
          </w:p>
          <w:p w14:paraId="12233B3D" w14:textId="2AF10BB7" w:rsidR="00065EFB" w:rsidRDefault="00065EFB" w:rsidP="002574D6">
            <w:pPr>
              <w:pStyle w:val="TAL"/>
              <w:rPr>
                <w:lang w:eastAsia="zh-CN"/>
              </w:rPr>
            </w:pPr>
            <w:r>
              <w:rPr>
                <w:rFonts w:eastAsia="Yu Mincho"/>
                <w:lang w:eastAsia="zh-CN"/>
              </w:rPr>
              <w:t>If indicated by the network, the UE releases the measurement config after the corresponding application session, if active, has ended.</w:t>
            </w:r>
          </w:p>
        </w:tc>
      </w:tr>
    </w:tbl>
    <w:p w14:paraId="73CB1064" w14:textId="77777777" w:rsidR="00065EFB" w:rsidRPr="0020477D" w:rsidRDefault="00065EFB" w:rsidP="0020477D"/>
    <w:sectPr w:rsidR="00065EFB" w:rsidRPr="0020477D"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0BE7" w14:textId="77777777" w:rsidR="00F62E8E" w:rsidRDefault="00F62E8E">
      <w:r>
        <w:separator/>
      </w:r>
    </w:p>
  </w:endnote>
  <w:endnote w:type="continuationSeparator" w:id="0">
    <w:p w14:paraId="437C8930" w14:textId="77777777" w:rsidR="00F62E8E" w:rsidRDefault="00F62E8E">
      <w:r>
        <w:continuationSeparator/>
      </w:r>
    </w:p>
  </w:endnote>
  <w:endnote w:type="continuationNotice" w:id="1">
    <w:p w14:paraId="11669487" w14:textId="77777777" w:rsidR="00F62E8E" w:rsidRDefault="00F62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4E2D" w14:textId="77777777" w:rsidR="00F62E8E" w:rsidRDefault="00F62E8E">
      <w:r>
        <w:separator/>
      </w:r>
    </w:p>
  </w:footnote>
  <w:footnote w:type="continuationSeparator" w:id="0">
    <w:p w14:paraId="70F01DE4" w14:textId="77777777" w:rsidR="00F62E8E" w:rsidRDefault="00F62E8E">
      <w:r>
        <w:continuationSeparator/>
      </w:r>
    </w:p>
  </w:footnote>
  <w:footnote w:type="continuationNotice" w:id="1">
    <w:p w14:paraId="104BCB0A" w14:textId="77777777" w:rsidR="00F62E8E" w:rsidRDefault="00F62E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4"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7"/>
  </w:num>
  <w:num w:numId="4">
    <w:abstractNumId w:val="20"/>
  </w:num>
  <w:num w:numId="5">
    <w:abstractNumId w:val="13"/>
  </w:num>
  <w:num w:numId="6">
    <w:abstractNumId w:val="22"/>
  </w:num>
  <w:num w:numId="7">
    <w:abstractNumId w:val="29"/>
  </w:num>
  <w:num w:numId="8">
    <w:abstractNumId w:val="14"/>
  </w:num>
  <w:num w:numId="9">
    <w:abstractNumId w:val="26"/>
  </w:num>
  <w:num w:numId="10">
    <w:abstractNumId w:val="4"/>
  </w:num>
  <w:num w:numId="11">
    <w:abstractNumId w:val="31"/>
  </w:num>
  <w:num w:numId="12">
    <w:abstractNumId w:val="6"/>
  </w:num>
  <w:num w:numId="13">
    <w:abstractNumId w:val="28"/>
  </w:num>
  <w:num w:numId="14">
    <w:abstractNumId w:val="21"/>
  </w:num>
  <w:num w:numId="15">
    <w:abstractNumId w:val="37"/>
  </w:num>
  <w:num w:numId="16">
    <w:abstractNumId w:val="41"/>
  </w:num>
  <w:num w:numId="17">
    <w:abstractNumId w:val="12"/>
  </w:num>
  <w:num w:numId="18">
    <w:abstractNumId w:val="30"/>
  </w:num>
  <w:num w:numId="19">
    <w:abstractNumId w:val="15"/>
  </w:num>
  <w:num w:numId="20">
    <w:abstractNumId w:val="11"/>
  </w:num>
  <w:num w:numId="21">
    <w:abstractNumId w:val="27"/>
  </w:num>
  <w:num w:numId="22">
    <w:abstractNumId w:val="7"/>
  </w:num>
  <w:num w:numId="23">
    <w:abstractNumId w:val="24"/>
  </w:num>
  <w:num w:numId="24">
    <w:abstractNumId w:val="35"/>
  </w:num>
  <w:num w:numId="25">
    <w:abstractNumId w:val="40"/>
  </w:num>
  <w:num w:numId="26">
    <w:abstractNumId w:val="23"/>
  </w:num>
  <w:num w:numId="27">
    <w:abstractNumId w:val="19"/>
  </w:num>
  <w:num w:numId="28">
    <w:abstractNumId w:val="10"/>
  </w:num>
  <w:num w:numId="29">
    <w:abstractNumId w:val="39"/>
  </w:num>
  <w:num w:numId="30">
    <w:abstractNumId w:val="8"/>
  </w:num>
  <w:num w:numId="31">
    <w:abstractNumId w:val="33"/>
  </w:num>
  <w:num w:numId="32">
    <w:abstractNumId w:val="32"/>
  </w:num>
  <w:num w:numId="33">
    <w:abstractNumId w:val="9"/>
  </w:num>
  <w:num w:numId="34">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6"/>
  </w:num>
  <w:num w:numId="37">
    <w:abstractNumId w:val="16"/>
  </w:num>
  <w:num w:numId="38">
    <w:abstractNumId w:val="18"/>
  </w:num>
  <w:num w:numId="39">
    <w:abstractNumId w:val="38"/>
  </w:num>
  <w:num w:numId="40">
    <w:abstractNumId w:val="34"/>
  </w:num>
  <w:num w:numId="41">
    <w:abstractNumId w:val="0"/>
  </w:num>
  <w:num w:numId="42">
    <w:abstractNumId w:val="1"/>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1136</Words>
  <Characters>6538</Characters>
  <Application>Microsoft Office Word</Application>
  <DocSecurity>0</DocSecurity>
  <Lines>145</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2021-10-21T14:54:00Z</dcterms:created>
  <dcterms:modified xsi:type="dcterms:W3CDTF">2021-10-21T15:00:00Z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